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BA312" w14:textId="5D42322F" w:rsidR="00ED1FFE" w:rsidRPr="00ED1FFE" w:rsidRDefault="00440164" w:rsidP="00BA598B">
      <w:pPr>
        <w:widowControl/>
        <w:tabs>
          <w:tab w:val="left" w:pos="2545"/>
        </w:tabs>
        <w:spacing w:line="580" w:lineRule="exact"/>
        <w:rPr>
          <w:rFonts w:ascii="仿宋_GB2312" w:eastAsia="仿宋_GB2312" w:hAnsi="宋体" w:cs="Times New Roman"/>
          <w:szCs w:val="24"/>
        </w:rPr>
      </w:pPr>
      <w:r w:rsidRPr="007E2ED1">
        <w:rPr>
          <w:rFonts w:ascii="宋体" w:eastAsia="宋体" w:hAnsi="宋体" w:cs="Times New Roman" w:hint="eastAsia"/>
          <w:b/>
          <w:sz w:val="24"/>
          <w:szCs w:val="24"/>
        </w:rPr>
        <w:t>附件</w:t>
      </w:r>
      <w:r>
        <w:rPr>
          <w:rFonts w:ascii="宋体" w:eastAsia="宋体" w:hAnsi="宋体" w:cs="Times New Roman"/>
          <w:b/>
          <w:sz w:val="24"/>
          <w:szCs w:val="24"/>
        </w:rPr>
        <w:t>13</w:t>
      </w:r>
    </w:p>
    <w:p w14:paraId="5D90A433" w14:textId="77777777" w:rsidR="00440164" w:rsidRPr="00440164" w:rsidRDefault="00440164" w:rsidP="00440164">
      <w:pPr>
        <w:widowControl/>
        <w:spacing w:afterLines="50" w:after="158"/>
        <w:jc w:val="center"/>
        <w:outlineLvl w:val="1"/>
        <w:rPr>
          <w:rFonts w:ascii="方正小标宋简体" w:eastAsia="方正小标宋简体" w:hAnsi="宋体" w:cs="宋体"/>
          <w:bCs/>
          <w:kern w:val="36"/>
          <w:sz w:val="36"/>
          <w:szCs w:val="32"/>
        </w:rPr>
      </w:pPr>
      <w:bookmarkStart w:id="0" w:name="_GoBack"/>
      <w:r w:rsidRPr="00440164">
        <w:rPr>
          <w:rFonts w:ascii="方正小标宋简体" w:eastAsia="方正小标宋简体" w:hAnsi="宋体" w:cs="宋体" w:hint="eastAsia"/>
          <w:bCs/>
          <w:kern w:val="36"/>
          <w:sz w:val="36"/>
          <w:szCs w:val="32"/>
        </w:rPr>
        <w:t>山东农业工程学院试卷评阅及分析规范</w:t>
      </w:r>
    </w:p>
    <w:bookmarkEnd w:id="0"/>
    <w:p w14:paraId="10F80DCD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课程考核是评价教学目标、提高教学质量、促进教学成效的重要依据和手段，试卷评阅及分析工作是课程考核的运行基础，为保证教学考核工作的严谨有序，特制定本规范，即日起执行。</w:t>
      </w:r>
    </w:p>
    <w:p w14:paraId="173619B6" w14:textId="77777777" w:rsidR="00440164" w:rsidRPr="00440164" w:rsidRDefault="00440164" w:rsidP="00440164">
      <w:pPr>
        <w:widowControl/>
        <w:ind w:firstLineChars="200" w:firstLine="640"/>
        <w:rPr>
          <w:rFonts w:ascii="黑体" w:eastAsia="黑体" w:hAnsi="黑体" w:cs="Times New Roman"/>
          <w:kern w:val="0"/>
          <w:sz w:val="32"/>
          <w:szCs w:val="28"/>
        </w:rPr>
      </w:pPr>
      <w:r w:rsidRPr="00440164">
        <w:rPr>
          <w:rFonts w:ascii="黑体" w:eastAsia="黑体" w:hAnsi="黑体" w:cs="Times New Roman" w:hint="eastAsia"/>
          <w:kern w:val="0"/>
          <w:sz w:val="32"/>
          <w:szCs w:val="28"/>
        </w:rPr>
        <w:t>一、阅卷工作规范</w:t>
      </w:r>
    </w:p>
    <w:p w14:paraId="1185235A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1.阅卷教师在批改试卷时应持严谨认真的态度，按照该门试卷相对应的“参考答案及评分标准”客观公正地阅卷计分，不得出现无故提高或降低学生成绩的情况，累加总分应准确无误。</w:t>
      </w:r>
    </w:p>
    <w:p w14:paraId="3BA9EB11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2.</w:t>
      </w:r>
      <w:r w:rsidRPr="00440164">
        <w:rPr>
          <w:rFonts w:ascii="仿宋_GB2312" w:eastAsia="仿宋_GB2312" w:hAnsi="Times New Roman" w:cs="Times New Roman"/>
          <w:kern w:val="0"/>
          <w:sz w:val="32"/>
          <w:szCs w:val="28"/>
        </w:rPr>
        <w:t xml:space="preserve"> </w:t>
      </w: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统一命题考核的课程凡是有两名（含两名）以上教师任课的，必须组织教师集体阅卷，采用流水作业方式批改。非统一命题考核的课程应由相应教研室组织开展阅卷任务，应以集体阅卷为主。试卷数量较大的，应先组织试评，统一评分尺度。</w:t>
      </w:r>
    </w:p>
    <w:p w14:paraId="00ABCDEF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3.阅卷一律使用红色笔，记分数字必须工整、清晰、规范，分数一经评定，不得随意更改。</w:t>
      </w:r>
    </w:p>
    <w:p w14:paraId="5A080CBC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4.教师评阅试卷时，应密封评阅，不得拆封评阅。评阅完毕，经教师所在单位检查后方可拆封</w:t>
      </w:r>
      <w:proofErr w:type="gramStart"/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誊</w:t>
      </w:r>
      <w:proofErr w:type="gramEnd"/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分。</w:t>
      </w:r>
    </w:p>
    <w:p w14:paraId="01DD6A02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5.试卷批改标记的具体要求：</w:t>
      </w:r>
    </w:p>
    <w:p w14:paraId="26388846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lastRenderedPageBreak/>
        <w:t>（1）阅卷一律采用得分的标记方法。正确答题不使用“√”标记，错误答案要用“\”标出。</w:t>
      </w:r>
    </w:p>
    <w:p w14:paraId="61D0AC16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（2）填空、选择、判断等题型可以不打小分，在大题题号左侧空白处用圆圈圈出总分即可。</w:t>
      </w:r>
    </w:p>
    <w:p w14:paraId="1D66C3DA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（3）如简答、论述、案例分析、计算等题型包含若干小题，除在各步骤及得分要点处计分外，须在每个小题左边给出各小题的总分，不使用圆圈标记。大题的总得分应等于各小题得分的总和，在大题题号左侧空白处用圆圈圈出总分。大题中标注的各得分点应与“参考答案及评分标准”中一一对应。</w:t>
      </w:r>
    </w:p>
    <w:p w14:paraId="0A743F57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（4）若因误评、漏评或计分错误确需更改分数，应在错误分数处打“\\”划掉原错误得分，并在一旁书写正确分数。改动处签注阅卷教师的全名及日期</w:t>
      </w:r>
    </w:p>
    <w:p w14:paraId="28AEA87A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（5）试卷卷首分，应填写在卷首分数框内。每个大题分应同试卷卷面内每道大题题号左侧圆圈内分数一致。试卷总分应等于各个大题分之</w:t>
      </w:r>
      <w:proofErr w:type="gramStart"/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和</w:t>
      </w:r>
      <w:proofErr w:type="gramEnd"/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。</w:t>
      </w:r>
      <w:r w:rsidRPr="00440164">
        <w:rPr>
          <w:rFonts w:ascii="仿宋_GB2312" w:eastAsia="仿宋_GB2312" w:hAnsi="Times New Roman" w:cs="Times New Roman" w:hint="eastAsia"/>
          <w:color w:val="FF0000"/>
          <w:kern w:val="0"/>
          <w:sz w:val="32"/>
          <w:szCs w:val="28"/>
        </w:rPr>
        <w:t>试卷总分四舍五入后(保留整数)计入得分框。</w:t>
      </w: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卷首分数框中</w:t>
      </w:r>
      <w:r w:rsidRPr="00440164">
        <w:rPr>
          <w:rFonts w:ascii="仿宋_GB2312" w:eastAsia="仿宋_GB2312" w:hAnsi="Times New Roman" w:cs="Times New Roman"/>
          <w:kern w:val="0"/>
          <w:sz w:val="32"/>
          <w:szCs w:val="28"/>
        </w:rPr>
        <w:t>统分人、复核人只统计、复核</w:t>
      </w:r>
      <w:proofErr w:type="gramStart"/>
      <w:r w:rsidRPr="00440164">
        <w:rPr>
          <w:rFonts w:ascii="仿宋_GB2312" w:eastAsia="仿宋_GB2312" w:hAnsi="Times New Roman" w:cs="Times New Roman"/>
          <w:kern w:val="0"/>
          <w:sz w:val="32"/>
          <w:szCs w:val="28"/>
        </w:rPr>
        <w:t>答题纸左上角</w:t>
      </w:r>
      <w:proofErr w:type="gramEnd"/>
      <w:r w:rsidRPr="00440164">
        <w:rPr>
          <w:rFonts w:ascii="仿宋_GB2312" w:eastAsia="仿宋_GB2312" w:hAnsi="Times New Roman" w:cs="Times New Roman"/>
          <w:kern w:val="0"/>
          <w:sz w:val="32"/>
          <w:szCs w:val="28"/>
        </w:rPr>
        <w:t>大题得分的分值。统分人可以是阅卷人之一，教师独立阅卷时，复核人不得为阅卷人，统分人、复核人不得为同一人。</w:t>
      </w:r>
    </w:p>
    <w:p w14:paraId="4F8208D1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（6）</w:t>
      </w:r>
      <w:r w:rsidRPr="00440164">
        <w:rPr>
          <w:rFonts w:ascii="仿宋_GB2312" w:eastAsia="仿宋_GB2312" w:hAnsi="Times New Roman" w:cs="Times New Roman"/>
          <w:kern w:val="0"/>
          <w:sz w:val="32"/>
          <w:szCs w:val="28"/>
        </w:rPr>
        <w:t>试卷批阅及教师签名处应使用红色签字笔，计分数字工整、清晰、规范。</w:t>
      </w: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如阅卷为流水作业，阅卷人应分别在</w:t>
      </w: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lastRenderedPageBreak/>
        <w:t>试卷封面上方相应的阅卷人栏内签全名；如阅卷为个人评阅，仅需在第一题对应的</w:t>
      </w:r>
      <w:proofErr w:type="gramStart"/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阅卷人栏中签</w:t>
      </w:r>
      <w:proofErr w:type="gramEnd"/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全名，其余阅卷人栏中均可只签“姓”。使用机器阅卷的，应在答题纸首页对应阅卷人栏内标注“机读”。</w:t>
      </w:r>
      <w:r w:rsidRPr="00440164">
        <w:rPr>
          <w:rFonts w:ascii="仿宋_GB2312" w:eastAsia="仿宋_GB2312" w:hAnsi="Times New Roman" w:cs="Times New Roman"/>
          <w:kern w:val="0"/>
          <w:sz w:val="32"/>
          <w:szCs w:val="28"/>
        </w:rPr>
        <w:t>答题纸所有签名处应为手写签名，不可使用人名章、印。</w:t>
      </w:r>
    </w:p>
    <w:p w14:paraId="4A99121E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6.保持试卷的整洁，不得在试卷上出现与试卷批改无关的字迹。</w:t>
      </w:r>
    </w:p>
    <w:p w14:paraId="6D58DAB8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7.试卷评阅后院（部）须安排教师进行试卷复核。复核人对试卷要逐一进行认真、细致的复查，检查阅卷是否符合评分标准，是否符合试卷评阅规范，是否存在误判、漏判、统分错误等。</w:t>
      </w:r>
    </w:p>
    <w:p w14:paraId="04CBAC2C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8.试卷评阅及复核结束后，教研室主任对本教研室所有试卷进行核查，并在试卷封面上签字确认。</w:t>
      </w:r>
    </w:p>
    <w:p w14:paraId="1498DA0C" w14:textId="77777777" w:rsidR="00440164" w:rsidRPr="00440164" w:rsidRDefault="00440164" w:rsidP="00440164">
      <w:pPr>
        <w:widowControl/>
        <w:ind w:firstLineChars="200" w:firstLine="640"/>
        <w:rPr>
          <w:rFonts w:ascii="黑体" w:eastAsia="黑体" w:hAnsi="黑体" w:cs="Times New Roman"/>
          <w:kern w:val="0"/>
          <w:sz w:val="32"/>
          <w:szCs w:val="28"/>
        </w:rPr>
      </w:pPr>
      <w:r w:rsidRPr="00440164">
        <w:rPr>
          <w:rFonts w:ascii="黑体" w:eastAsia="黑体" w:hAnsi="黑体" w:cs="Times New Roman" w:hint="eastAsia"/>
          <w:kern w:val="0"/>
          <w:sz w:val="32"/>
          <w:szCs w:val="28"/>
        </w:rPr>
        <w:t>二、试卷（成绩）分析报告规范</w:t>
      </w:r>
    </w:p>
    <w:p w14:paraId="46F1AB77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1.试卷（成绩）分析报告是总结教学、命题、阅卷等工作的重要环节，必须认真、按时完成。所有的考核课程都必须作试卷分析报告。</w:t>
      </w:r>
    </w:p>
    <w:p w14:paraId="404BDB68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2.试卷（成绩）分析报告的主要内容包括：命题质量分析（含题量、题型、难易度、覆盖面等方面存在的主要问题及优点）；成绩分析（是否符合正态分布）；教学效果分析（从考核中反映出的学生知识理解、掌握及能力培养中存在的共性、典型性问题分析）；教学及考核改进措施等。</w:t>
      </w:r>
    </w:p>
    <w:p w14:paraId="392D0331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lastRenderedPageBreak/>
        <w:t>3.任课教师按教学班填写《试卷（成绩）分析报告》。试卷（成绩）分析报告应由课程负责人召集任课教师在集中分析、讨论、研究的基础上形成，任课教师可结合所授课班级具体情况增加个性化分析内容。对于成绩不符合正态分布的，任课教师须做出客观分析和说明。分析要准确、深入，具有针对性，并对今后改进教学和课程考核有指导意义。</w:t>
      </w:r>
    </w:p>
    <w:p w14:paraId="0EE0438C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4.试卷分析报告一式两份，一份存教研室，一份存课程考核档案。</w:t>
      </w:r>
    </w:p>
    <w:p w14:paraId="4C8C160B" w14:textId="77777777" w:rsidR="00440164" w:rsidRPr="00440164" w:rsidRDefault="00440164" w:rsidP="00440164">
      <w:pPr>
        <w:widowControl/>
        <w:ind w:firstLineChars="200" w:firstLine="640"/>
        <w:rPr>
          <w:rFonts w:ascii="仿宋_GB2312" w:eastAsia="仿宋_GB2312" w:hAnsi="宋体" w:cs="宋体"/>
          <w:kern w:val="0"/>
          <w:sz w:val="32"/>
          <w:szCs w:val="28"/>
        </w:rPr>
      </w:pPr>
      <w:r w:rsidRPr="00440164">
        <w:rPr>
          <w:rFonts w:ascii="仿宋_GB2312" w:eastAsia="仿宋_GB2312" w:hAnsi="Times New Roman" w:cs="Times New Roman" w:hint="eastAsia"/>
          <w:kern w:val="0"/>
          <w:sz w:val="32"/>
          <w:szCs w:val="28"/>
        </w:rPr>
        <w:t>5.教研室主任和院（部）领导要认真审核分析报告是否符合规范要求，保证分析报告质量并签字认可。</w:t>
      </w:r>
    </w:p>
    <w:p w14:paraId="6A79B72A" w14:textId="09D1FC83" w:rsidR="00ED1FFE" w:rsidRPr="00440164" w:rsidRDefault="00ED1FFE" w:rsidP="00440164">
      <w:pPr>
        <w:ind w:firstLineChars="200" w:firstLine="643"/>
        <w:rPr>
          <w:rFonts w:ascii="仿宋_GB2312" w:eastAsia="仿宋_GB2312" w:hAnsi="宋体" w:cs="Times New Roman"/>
          <w:b/>
          <w:sz w:val="32"/>
          <w:szCs w:val="24"/>
        </w:rPr>
      </w:pPr>
    </w:p>
    <w:p w14:paraId="57D0EE54" w14:textId="0553E3F6" w:rsidR="00ED1FFE" w:rsidRPr="00440164" w:rsidRDefault="00ED1FFE" w:rsidP="00440164">
      <w:pPr>
        <w:ind w:firstLineChars="200" w:firstLine="643"/>
        <w:rPr>
          <w:rFonts w:ascii="仿宋_GB2312" w:eastAsia="仿宋_GB2312" w:hAnsi="宋体" w:cs="Times New Roman"/>
          <w:b/>
          <w:sz w:val="32"/>
          <w:szCs w:val="24"/>
        </w:rPr>
      </w:pPr>
    </w:p>
    <w:p w14:paraId="6E373257" w14:textId="4F8C2431" w:rsidR="00EC6F8A" w:rsidRPr="00EC6F8A" w:rsidRDefault="00440164" w:rsidP="00BA598B">
      <w:pPr>
        <w:ind w:firstLineChars="200" w:firstLine="640"/>
        <w:jc w:val="right"/>
        <w:rPr>
          <w:rFonts w:ascii="Calibri" w:eastAsia="宋体" w:hAnsi="Calibri" w:cs="Times New Roman"/>
        </w:rPr>
      </w:pPr>
      <w:r w:rsidRPr="00440164">
        <w:rPr>
          <w:rFonts w:ascii="仿宋_GB2312" w:eastAsia="仿宋_GB2312" w:hAnsi="宋体" w:cs="Times New Roman" w:hint="eastAsia"/>
          <w:sz w:val="32"/>
          <w:szCs w:val="24"/>
        </w:rPr>
        <w:t>2</w:t>
      </w:r>
      <w:r w:rsidRPr="00440164">
        <w:rPr>
          <w:rFonts w:ascii="仿宋_GB2312" w:eastAsia="仿宋_GB2312" w:hAnsi="宋体" w:cs="Times New Roman"/>
          <w:sz w:val="32"/>
          <w:szCs w:val="24"/>
        </w:rPr>
        <w:t>019</w:t>
      </w:r>
      <w:r w:rsidRPr="00440164">
        <w:rPr>
          <w:rFonts w:ascii="仿宋_GB2312" w:eastAsia="仿宋_GB2312" w:hAnsi="宋体" w:cs="Times New Roman" w:hint="eastAsia"/>
          <w:sz w:val="32"/>
          <w:szCs w:val="24"/>
        </w:rPr>
        <w:t>年1</w:t>
      </w:r>
      <w:r w:rsidRPr="00440164">
        <w:rPr>
          <w:rFonts w:ascii="仿宋_GB2312" w:eastAsia="仿宋_GB2312" w:hAnsi="宋体" w:cs="Times New Roman"/>
          <w:sz w:val="32"/>
          <w:szCs w:val="24"/>
        </w:rPr>
        <w:t>1</w:t>
      </w:r>
      <w:r w:rsidRPr="00440164">
        <w:rPr>
          <w:rFonts w:ascii="仿宋_GB2312" w:eastAsia="仿宋_GB2312" w:hAnsi="宋体" w:cs="Times New Roman" w:hint="eastAsia"/>
          <w:sz w:val="32"/>
          <w:szCs w:val="24"/>
        </w:rPr>
        <w:t>月</w:t>
      </w:r>
      <w:r>
        <w:rPr>
          <w:rFonts w:ascii="仿宋_GB2312" w:eastAsia="仿宋_GB2312" w:hAnsi="宋体" w:cs="Times New Roman"/>
          <w:sz w:val="32"/>
          <w:szCs w:val="24"/>
        </w:rPr>
        <w:t>11</w:t>
      </w:r>
      <w:r w:rsidRPr="00440164">
        <w:rPr>
          <w:rFonts w:ascii="仿宋_GB2312" w:eastAsia="仿宋_GB2312" w:hAnsi="宋体" w:cs="Times New Roman" w:hint="eastAsia"/>
          <w:sz w:val="32"/>
          <w:szCs w:val="24"/>
        </w:rPr>
        <w:t>日</w:t>
      </w:r>
    </w:p>
    <w:sectPr w:rsidR="00EC6F8A" w:rsidRPr="00EC6F8A" w:rsidSect="00BA598B">
      <w:headerReference w:type="default" r:id="rId7"/>
      <w:pgSz w:w="11906" w:h="16838" w:code="9"/>
      <w:pgMar w:top="1440" w:right="1797" w:bottom="1440" w:left="179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B4CBD" w14:textId="77777777" w:rsidR="006A2E1E" w:rsidRDefault="006A2E1E">
      <w:r>
        <w:separator/>
      </w:r>
    </w:p>
  </w:endnote>
  <w:endnote w:type="continuationSeparator" w:id="0">
    <w:p w14:paraId="1209A5FE" w14:textId="77777777" w:rsidR="006A2E1E" w:rsidRDefault="006A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163F3" w14:textId="77777777" w:rsidR="006A2E1E" w:rsidRDefault="006A2E1E">
      <w:r>
        <w:separator/>
      </w:r>
    </w:p>
  </w:footnote>
  <w:footnote w:type="continuationSeparator" w:id="0">
    <w:p w14:paraId="4366EF46" w14:textId="77777777" w:rsidR="006A2E1E" w:rsidRDefault="006A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24FA" w14:textId="77777777" w:rsidR="00A915F2" w:rsidRDefault="00A915F2" w:rsidP="00CD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08"/>
    <w:rsid w:val="00043038"/>
    <w:rsid w:val="00047908"/>
    <w:rsid w:val="000933F6"/>
    <w:rsid w:val="000C37A6"/>
    <w:rsid w:val="000E6D20"/>
    <w:rsid w:val="00105FCF"/>
    <w:rsid w:val="00107238"/>
    <w:rsid w:val="001337F1"/>
    <w:rsid w:val="00166C1F"/>
    <w:rsid w:val="00166FCE"/>
    <w:rsid w:val="00206CC1"/>
    <w:rsid w:val="00247C36"/>
    <w:rsid w:val="002670BF"/>
    <w:rsid w:val="00274400"/>
    <w:rsid w:val="00276106"/>
    <w:rsid w:val="00285A6B"/>
    <w:rsid w:val="002A0B93"/>
    <w:rsid w:val="002B6A79"/>
    <w:rsid w:val="0033517D"/>
    <w:rsid w:val="003577A4"/>
    <w:rsid w:val="0037694B"/>
    <w:rsid w:val="003D193D"/>
    <w:rsid w:val="003E159E"/>
    <w:rsid w:val="003F1C97"/>
    <w:rsid w:val="004216DC"/>
    <w:rsid w:val="004248ED"/>
    <w:rsid w:val="0043212C"/>
    <w:rsid w:val="00440164"/>
    <w:rsid w:val="00451BFC"/>
    <w:rsid w:val="0046296D"/>
    <w:rsid w:val="004A7207"/>
    <w:rsid w:val="004C4530"/>
    <w:rsid w:val="004D18EE"/>
    <w:rsid w:val="004D22EA"/>
    <w:rsid w:val="004E4C9C"/>
    <w:rsid w:val="00501C91"/>
    <w:rsid w:val="005618B0"/>
    <w:rsid w:val="005B161D"/>
    <w:rsid w:val="005D0368"/>
    <w:rsid w:val="00666CE9"/>
    <w:rsid w:val="00667AAE"/>
    <w:rsid w:val="0067528F"/>
    <w:rsid w:val="0069315E"/>
    <w:rsid w:val="0069670B"/>
    <w:rsid w:val="006A2E1E"/>
    <w:rsid w:val="006F57C3"/>
    <w:rsid w:val="00720D56"/>
    <w:rsid w:val="00725ABA"/>
    <w:rsid w:val="00753654"/>
    <w:rsid w:val="00764869"/>
    <w:rsid w:val="00767D51"/>
    <w:rsid w:val="007D38AE"/>
    <w:rsid w:val="007D6BE5"/>
    <w:rsid w:val="007E2ED1"/>
    <w:rsid w:val="007F3632"/>
    <w:rsid w:val="0083084D"/>
    <w:rsid w:val="00857477"/>
    <w:rsid w:val="00896121"/>
    <w:rsid w:val="008B4F17"/>
    <w:rsid w:val="008D2D20"/>
    <w:rsid w:val="008E156E"/>
    <w:rsid w:val="008F30CB"/>
    <w:rsid w:val="009069ED"/>
    <w:rsid w:val="00907410"/>
    <w:rsid w:val="00912653"/>
    <w:rsid w:val="0097168F"/>
    <w:rsid w:val="009B4DB8"/>
    <w:rsid w:val="00A00A60"/>
    <w:rsid w:val="00A17EDC"/>
    <w:rsid w:val="00A42771"/>
    <w:rsid w:val="00A80E60"/>
    <w:rsid w:val="00A915F2"/>
    <w:rsid w:val="00A93D5A"/>
    <w:rsid w:val="00AD1EAC"/>
    <w:rsid w:val="00AE61F6"/>
    <w:rsid w:val="00AF6F11"/>
    <w:rsid w:val="00B050B3"/>
    <w:rsid w:val="00B14657"/>
    <w:rsid w:val="00B25E11"/>
    <w:rsid w:val="00B32455"/>
    <w:rsid w:val="00B40705"/>
    <w:rsid w:val="00BA598B"/>
    <w:rsid w:val="00BC060A"/>
    <w:rsid w:val="00C70DB3"/>
    <w:rsid w:val="00CB4507"/>
    <w:rsid w:val="00CD5526"/>
    <w:rsid w:val="00D94E7D"/>
    <w:rsid w:val="00DD4699"/>
    <w:rsid w:val="00E2464C"/>
    <w:rsid w:val="00E90A8E"/>
    <w:rsid w:val="00EA40EE"/>
    <w:rsid w:val="00EA57FE"/>
    <w:rsid w:val="00EB4F8C"/>
    <w:rsid w:val="00EC6F8A"/>
    <w:rsid w:val="00ED1FFE"/>
    <w:rsid w:val="00F23E63"/>
    <w:rsid w:val="00F4418C"/>
    <w:rsid w:val="00F56275"/>
    <w:rsid w:val="00F63088"/>
    <w:rsid w:val="00F6664A"/>
    <w:rsid w:val="00F743D5"/>
    <w:rsid w:val="00F8000C"/>
    <w:rsid w:val="00F9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0D043"/>
  <w15:docId w15:val="{8CF9D9D2-AF00-4539-8DBB-F406D511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8EE"/>
    <w:pP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仿宋_GB2312" w:eastAsia="仿宋_GB2312" w:hAnsi="仿宋_GB231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8EE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0A8E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仿宋_GB2312" w:eastAsia="仿宋_GB2312" w:hAnsi="仿宋_GB231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0A8E"/>
    <w:rPr>
      <w:rFonts w:ascii="仿宋_GB2312" w:eastAsia="仿宋_GB2312" w:hAnsi="仿宋_GB2312"/>
      <w:sz w:val="18"/>
      <w:szCs w:val="18"/>
    </w:rPr>
  </w:style>
  <w:style w:type="character" w:customStyle="1" w:styleId="style101">
    <w:name w:val="style101"/>
    <w:basedOn w:val="a0"/>
    <w:rsid w:val="008D2D20"/>
    <w:rPr>
      <w:sz w:val="20"/>
      <w:szCs w:val="20"/>
    </w:rPr>
  </w:style>
  <w:style w:type="character" w:styleId="a7">
    <w:name w:val="page number"/>
    <w:basedOn w:val="a0"/>
    <w:rsid w:val="007E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0F0C-3EDD-4CC8-BF67-EF1D1CA4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2019-11-12T09:09:00Z</dcterms:created>
  <dc:creator>门辉华</dc:creator>
  <lastModifiedBy>XuZheng</lastModifiedBy>
  <dcterms:modified xsi:type="dcterms:W3CDTF">2019-11-12T09:09:00Z</dcterms:modified>
  <revision>2</revision>
</coreProperties>
</file>